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atLeas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2</w:t>
      </w:r>
      <w:r>
        <w:rPr>
          <w:rFonts w:hint="eastAsia" w:ascii="黑体" w:hAnsi="黑体" w:eastAsia="黑体"/>
          <w:sz w:val="32"/>
          <w:szCs w:val="32"/>
        </w:rPr>
        <w:t>：</w:t>
      </w:r>
    </w:p>
    <w:p>
      <w:pPr>
        <w:spacing w:line="580" w:lineRule="atLeas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年度麦盖提县招商局部门决算</w:t>
      </w:r>
    </w:p>
    <w:p>
      <w:pPr>
        <w:spacing w:line="580" w:lineRule="atLeast"/>
        <w:jc w:val="center"/>
        <w:rPr>
          <w:rFonts w:ascii="??_GB2312" w:hAnsi="宋体" w:eastAsia="Times New Roman"/>
          <w:sz w:val="32"/>
          <w:szCs w:val="32"/>
        </w:rPr>
      </w:pPr>
      <w:r>
        <w:rPr>
          <w:rFonts w:hint="eastAsia" w:ascii="方正小标宋_GBK" w:hAnsi="宋体" w:eastAsia="方正小标宋_GBK"/>
          <w:sz w:val="44"/>
          <w:szCs w:val="44"/>
        </w:rPr>
        <w:t>公开说明</w:t>
      </w:r>
    </w:p>
    <w:p>
      <w:pPr>
        <w:spacing w:line="580" w:lineRule="atLeast"/>
        <w:jc w:val="center"/>
        <w:outlineLvl w:val="1"/>
        <w:rPr>
          <w:rFonts w:ascii="华文中宋" w:hAnsi="华文中宋" w:eastAsia="华文中宋"/>
          <w:b/>
          <w:sz w:val="32"/>
          <w:szCs w:val="32"/>
        </w:rPr>
      </w:pPr>
      <w:r>
        <w:rPr>
          <w:rFonts w:hint="eastAsia" w:ascii="华文中宋" w:hAnsi="华文中宋" w:eastAsia="华文中宋"/>
          <w:b/>
          <w:sz w:val="32"/>
          <w:szCs w:val="32"/>
        </w:rPr>
        <w:t>目录</w:t>
      </w:r>
    </w:p>
    <w:p>
      <w:pPr>
        <w:spacing w:line="580" w:lineRule="atLeast"/>
        <w:ind w:firstLine="640" w:firstLineChars="200"/>
        <w:outlineLvl w:val="1"/>
        <w:rPr>
          <w:rFonts w:ascii="黑体" w:hAnsi="黑体" w:eastAsia="黑体"/>
          <w:sz w:val="32"/>
          <w:szCs w:val="32"/>
        </w:rPr>
      </w:pPr>
      <w:r>
        <w:rPr>
          <w:rFonts w:hint="eastAsia" w:ascii="黑体" w:hAnsi="黑体" w:eastAsia="黑体"/>
          <w:sz w:val="32"/>
          <w:szCs w:val="32"/>
        </w:rPr>
        <w:t>第一部分麦盖提县招商局概况</w:t>
      </w:r>
    </w:p>
    <w:p>
      <w:pPr>
        <w:spacing w:line="580" w:lineRule="atLeas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一、主要职能、机构设置及人员情况</w:t>
      </w:r>
    </w:p>
    <w:p>
      <w:pPr>
        <w:spacing w:line="580" w:lineRule="atLeas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二、部门决算单位构成</w:t>
      </w:r>
    </w:p>
    <w:p>
      <w:pPr>
        <w:spacing w:line="580" w:lineRule="atLeast"/>
        <w:ind w:firstLine="640" w:firstLineChars="200"/>
        <w:outlineLvl w:val="1"/>
        <w:rPr>
          <w:rFonts w:ascii="黑体" w:hAnsi="黑体" w:eastAsia="黑体"/>
          <w:sz w:val="32"/>
          <w:szCs w:val="32"/>
        </w:rPr>
      </w:pPr>
      <w:r>
        <w:rPr>
          <w:rFonts w:hint="eastAsia" w:ascii="黑体" w:hAnsi="黑体" w:eastAsia="黑体"/>
          <w:sz w:val="32"/>
          <w:szCs w:val="32"/>
        </w:rPr>
        <w:t>第二部分部门决算情况说明</w:t>
      </w:r>
    </w:p>
    <w:p>
      <w:pPr>
        <w:spacing w:line="580" w:lineRule="atLeas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spacing w:line="580" w:lineRule="atLeas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spacing w:line="580" w:lineRule="atLeast"/>
        <w:ind w:firstLine="640" w:firstLineChars="200"/>
        <w:outlineLvl w:val="1"/>
        <w:rPr>
          <w:rFonts w:ascii="黑体" w:hAnsi="黑体" w:eastAsia="黑体"/>
          <w:sz w:val="32"/>
          <w:szCs w:val="32"/>
        </w:rPr>
      </w:pPr>
      <w:r>
        <w:rPr>
          <w:rFonts w:hint="eastAsia" w:ascii="黑体" w:hAnsi="黑体" w:eastAsia="黑体"/>
          <w:sz w:val="32"/>
          <w:szCs w:val="32"/>
        </w:rPr>
        <w:t>第三部分专业名词解释</w:t>
      </w:r>
    </w:p>
    <w:p>
      <w:pPr>
        <w:spacing w:line="580" w:lineRule="atLeast"/>
        <w:ind w:firstLine="640" w:firstLineChars="200"/>
        <w:outlineLvl w:val="1"/>
        <w:rPr>
          <w:rFonts w:ascii="黑体" w:hAnsi="黑体" w:eastAsia="黑体"/>
          <w:sz w:val="32"/>
          <w:szCs w:val="32"/>
        </w:rPr>
      </w:pPr>
      <w:r>
        <w:rPr>
          <w:rFonts w:hint="eastAsia" w:ascii="黑体" w:hAnsi="黑体" w:eastAsia="黑体"/>
          <w:sz w:val="32"/>
          <w:szCs w:val="32"/>
        </w:rPr>
        <w:t>第四部分部门决算报表</w:t>
      </w:r>
    </w:p>
    <w:p>
      <w:pPr>
        <w:spacing w:line="580" w:lineRule="atLeas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二、部门收支总体情况（11张）：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三、财政拨款收支情况（9张）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五、部门决算附表（5张）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七、“三公”经费支出情况(1张)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《2017年度一般公共预算“三公”经费支出情况表》</w:t>
      </w:r>
    </w:p>
    <w:p>
      <w:pPr>
        <w:spacing w:line="580" w:lineRule="atLeast"/>
        <w:jc w:val="center"/>
        <w:rPr>
          <w:rFonts w:ascii="黑体" w:hAnsi="黑体" w:eastAsia="黑体"/>
          <w:sz w:val="32"/>
          <w:szCs w:val="32"/>
        </w:rPr>
      </w:pPr>
    </w:p>
    <w:p>
      <w:pPr>
        <w:spacing w:line="580" w:lineRule="atLeast"/>
        <w:jc w:val="center"/>
        <w:rPr>
          <w:rFonts w:ascii="黑体" w:hAnsi="黑体" w:eastAsia="黑体"/>
          <w:sz w:val="32"/>
          <w:szCs w:val="32"/>
        </w:rPr>
      </w:pPr>
      <w:r>
        <w:rPr>
          <w:rFonts w:hint="eastAsia" w:ascii="黑体" w:hAnsi="黑体" w:eastAsia="黑体"/>
          <w:sz w:val="32"/>
          <w:szCs w:val="32"/>
        </w:rPr>
        <w:t>第一部分部门单位概况</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一、部门单位基本情况，包括：</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麦盖提县招商局性质为行政全额拨款单位，执行会计制度为行政会计制度。独立编制机构1个，独立编制机构与上年无变动。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1、主要职能：</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麦盖提县招商局是县人民政府下设的一个机构，主要贯彻执行国家，自治区有关招商引资的法律，法规和政策，研究拟订麦盖提县招商引资优惠政策和措施。</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研究拟订并组织实施麦盖提县招商引资的中长期规划和年度目标，统筹协调麦盖提县招商引资工作并督促检查；综合研究和分析招商引资工作中的重大问题，提出政策建议。</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区内外重大对外招商引资；负责协调区内外举办招商活动的工作；负责策划，组织实施参加重大的投资洽谈活动；负责对区内外重要投资考察团来访的接洽工作；负责投资合作项目的洽谈，签约，跟踪和协调工作。</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根据麦盖提县工业经济发展规划，负责整合社会及民间投资项目资源，建立和管理麦盖提县招商项目库，并组织开展有关项目前期工作，做好项目核准（备案）和项目储备工作。</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负责建立麦盖提县招商引资信息网络，及时对招商引资项目和信息进行发布，开展网络招商；为县委和县人民政府及有关部门提供招商引资信息及提出工作建议。</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负责协调县人民政府有关职能部门为外来投资企业提供相关服务，帮助他们协调解决生产经营，日常生活等方面的实际问题。</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负责县内招商引资有关数据的统计，分析和编报工作；配合有关部门做好招商引资的宣传工作；负责全县年度招商引资奖励工作的组织实施。</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负责投资企业和投资者涉及社会环境，企业利益保障等方面投诉事项的调查，协调，处理工作；配合有关部门协调做好投资环境建设的有关工作，为外来投资企业提供相关的服务。</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承办县委，县人民政府及上级主管单位交办的其他事项。</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2、机构人员情况：编制5人，实有在职人数4人，去世1人，属于一般公共预算财政拨款开支5人，其中：在职4人，去世1人。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二、部门决算单位构成。</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从决算单位构成看，麦盖提县招商局部门决算包括：麦盖提县招商局部门本级决算。</w:t>
      </w:r>
    </w:p>
    <w:p>
      <w:pPr>
        <w:spacing w:line="580" w:lineRule="atLeast"/>
        <w:ind w:firstLine="616"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z w:val="32"/>
          <w:szCs w:val="32"/>
        </w:rPr>
        <w:t>麦盖提县招商局</w:t>
      </w:r>
      <w:r>
        <w:rPr>
          <w:rFonts w:hint="eastAsia" w:ascii="仿宋_GB2312" w:hAnsi="仿宋_GB2312" w:eastAsia="仿宋_GB2312" w:cs="仿宋_GB2312"/>
          <w:spacing w:val="-6"/>
          <w:sz w:val="32"/>
          <w:szCs w:val="32"/>
        </w:rPr>
        <w:t>2017年部门决算编制范围的单位名单见下表：</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4661"/>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78" w:type="dxa"/>
            <w:vAlign w:val="center"/>
          </w:tcPr>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4661" w:type="dxa"/>
            <w:vAlign w:val="center"/>
          </w:tcPr>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21" w:type="dxa"/>
            <w:vAlign w:val="center"/>
          </w:tcPr>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78" w:type="dxa"/>
            <w:vAlign w:val="center"/>
          </w:tcPr>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4661" w:type="dxa"/>
            <w:vAlign w:val="center"/>
          </w:tcPr>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麦盖提县招商局</w:t>
            </w:r>
            <w:r>
              <w:rPr>
                <w:rFonts w:hint="eastAsia" w:ascii="仿宋_GB2312" w:hAnsi="仿宋_GB2312" w:eastAsia="仿宋_GB2312" w:cs="仿宋_GB2312"/>
                <w:sz w:val="32"/>
                <w:szCs w:val="32"/>
                <w:lang w:eastAsia="zh-CN"/>
              </w:rPr>
              <w:t>本级</w:t>
            </w:r>
          </w:p>
        </w:tc>
        <w:tc>
          <w:tcPr>
            <w:tcW w:w="2821" w:type="dxa"/>
            <w:vAlign w:val="center"/>
          </w:tcPr>
          <w:p>
            <w:pPr>
              <w:spacing w:line="580" w:lineRule="atLeast"/>
              <w:ind w:firstLine="640" w:firstLineChars="200"/>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78" w:type="dxa"/>
            <w:vAlign w:val="center"/>
          </w:tcPr>
          <w:p>
            <w:pPr>
              <w:spacing w:line="580" w:lineRule="atLeast"/>
              <w:ind w:firstLine="640" w:firstLineChars="200"/>
              <w:rPr>
                <w:rFonts w:hint="eastAsia" w:ascii="仿宋_GB2312" w:hAnsi="仿宋_GB2312" w:eastAsia="仿宋_GB2312" w:cs="仿宋_GB2312"/>
                <w:sz w:val="32"/>
                <w:szCs w:val="32"/>
              </w:rPr>
            </w:pPr>
          </w:p>
        </w:tc>
        <w:tc>
          <w:tcPr>
            <w:tcW w:w="4661" w:type="dxa"/>
            <w:vAlign w:val="center"/>
          </w:tcPr>
          <w:p>
            <w:pPr>
              <w:spacing w:line="580" w:lineRule="atLeast"/>
              <w:ind w:firstLine="640" w:firstLineChars="200"/>
              <w:rPr>
                <w:rFonts w:hint="eastAsia" w:ascii="仿宋_GB2312" w:hAnsi="仿宋_GB2312" w:eastAsia="仿宋_GB2312" w:cs="仿宋_GB2312"/>
                <w:sz w:val="32"/>
                <w:szCs w:val="32"/>
              </w:rPr>
            </w:pPr>
          </w:p>
        </w:tc>
        <w:tc>
          <w:tcPr>
            <w:tcW w:w="2821" w:type="dxa"/>
            <w:vAlign w:val="center"/>
          </w:tcPr>
          <w:p>
            <w:pPr>
              <w:spacing w:line="580" w:lineRule="atLeast"/>
              <w:ind w:firstLine="640" w:firstLineChars="200"/>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78" w:type="dxa"/>
            <w:vAlign w:val="center"/>
          </w:tcPr>
          <w:p>
            <w:pPr>
              <w:spacing w:line="580" w:lineRule="atLeast"/>
              <w:ind w:firstLine="640" w:firstLineChars="200"/>
              <w:rPr>
                <w:rFonts w:hint="eastAsia" w:ascii="仿宋_GB2312" w:hAnsi="仿宋_GB2312" w:eastAsia="仿宋_GB2312" w:cs="仿宋_GB2312"/>
                <w:sz w:val="32"/>
                <w:szCs w:val="32"/>
              </w:rPr>
            </w:pPr>
          </w:p>
        </w:tc>
        <w:tc>
          <w:tcPr>
            <w:tcW w:w="4661" w:type="dxa"/>
            <w:vAlign w:val="center"/>
          </w:tcPr>
          <w:p>
            <w:pPr>
              <w:spacing w:line="580" w:lineRule="atLeast"/>
              <w:ind w:firstLine="640" w:firstLineChars="200"/>
              <w:rPr>
                <w:rFonts w:hint="eastAsia" w:ascii="仿宋_GB2312" w:hAnsi="仿宋_GB2312" w:eastAsia="仿宋_GB2312" w:cs="仿宋_GB2312"/>
                <w:sz w:val="32"/>
                <w:szCs w:val="32"/>
              </w:rPr>
            </w:pPr>
          </w:p>
        </w:tc>
        <w:tc>
          <w:tcPr>
            <w:tcW w:w="2821" w:type="dxa"/>
            <w:vAlign w:val="center"/>
          </w:tcPr>
          <w:p>
            <w:pPr>
              <w:spacing w:line="580" w:lineRule="atLeast"/>
              <w:ind w:firstLine="640" w:firstLineChars="200"/>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578" w:type="dxa"/>
            <w:vAlign w:val="center"/>
          </w:tcPr>
          <w:p>
            <w:pPr>
              <w:spacing w:line="580" w:lineRule="atLeast"/>
              <w:ind w:firstLine="640" w:firstLineChars="200"/>
              <w:rPr>
                <w:rFonts w:hint="eastAsia" w:ascii="仿宋_GB2312" w:hAnsi="仿宋_GB2312" w:eastAsia="仿宋_GB2312" w:cs="仿宋_GB2312"/>
                <w:sz w:val="32"/>
                <w:szCs w:val="32"/>
              </w:rPr>
            </w:pPr>
          </w:p>
        </w:tc>
        <w:tc>
          <w:tcPr>
            <w:tcW w:w="4661" w:type="dxa"/>
            <w:vAlign w:val="center"/>
          </w:tcPr>
          <w:p>
            <w:pPr>
              <w:spacing w:line="580" w:lineRule="atLeast"/>
              <w:ind w:firstLine="640" w:firstLineChars="200"/>
              <w:rPr>
                <w:rFonts w:hint="eastAsia" w:ascii="仿宋_GB2312" w:hAnsi="仿宋_GB2312" w:eastAsia="仿宋_GB2312" w:cs="仿宋_GB2312"/>
                <w:sz w:val="32"/>
                <w:szCs w:val="32"/>
              </w:rPr>
            </w:pPr>
          </w:p>
        </w:tc>
        <w:tc>
          <w:tcPr>
            <w:tcW w:w="2821" w:type="dxa"/>
            <w:vAlign w:val="center"/>
          </w:tcPr>
          <w:p>
            <w:pPr>
              <w:spacing w:line="580" w:lineRule="atLeast"/>
              <w:ind w:firstLine="640" w:firstLineChars="200"/>
              <w:rPr>
                <w:rFonts w:hint="eastAsia" w:ascii="仿宋_GB2312" w:hAnsi="仿宋_GB2312" w:eastAsia="仿宋_GB2312" w:cs="仿宋_GB2312"/>
                <w:sz w:val="32"/>
                <w:szCs w:val="32"/>
              </w:rPr>
            </w:pPr>
          </w:p>
        </w:tc>
      </w:tr>
    </w:tbl>
    <w:p>
      <w:pPr>
        <w:spacing w:line="580" w:lineRule="atLeast"/>
        <w:ind w:firstLine="643" w:firstLineChars="200"/>
        <w:rPr>
          <w:rFonts w:hint="eastAsia" w:ascii="仿宋_GB2312" w:hAnsi="仿宋_GB2312" w:eastAsia="仿宋_GB2312" w:cs="仿宋_GB2312"/>
          <w:b/>
          <w:sz w:val="32"/>
          <w:szCs w:val="32"/>
        </w:rPr>
      </w:pPr>
    </w:p>
    <w:p>
      <w:pPr>
        <w:spacing w:line="580" w:lineRule="atLeast"/>
        <w:ind w:firstLine="627"/>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第二部分部门决算情况说明</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（一）部门收入支出决算总体情况说明（Z01表、02表）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收入60.06万元,与上年相比，减少38.84万元，降低39.27%，支出60.06万元,与上年相比，减少38.84万元，降低39.27%，结余0万元，与上年相比，增加0万元，增长0%。减少变化主要原因是：2016年与园区合署办公,2017年初分开。</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与预算相比情况。2017年度部门收入60.06万元,与预算相比，增加6.12万元，增长11.34%，支出60.06万元,与预算相比，增加6.12万元，增长11.34%。原因：**投入力度加大，项目增加。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（二）部门收入总体情况说明（Z03表）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收入合计60.06万元，其中：财政拨款收入60.06万元，占100%；上级补助收入0万元，占0%；事业收入0万元，占0%；经营收入0万元，占0%；附属单位缴款0万元，占0%；其他收入0万元，占0%。增加变化的主要原因是：**投入力度加大，项目增加。</w:t>
      </w:r>
    </w:p>
    <w:p>
      <w:pPr>
        <w:spacing w:line="580" w:lineRule="atLeast"/>
        <w:ind w:firstLine="640" w:firstLineChars="200"/>
        <w:rPr>
          <w:rFonts w:hint="eastAsia" w:ascii="仿宋_GB2312" w:hAnsi="仿宋_GB2312" w:eastAsia="仿宋_GB2312" w:cs="仿宋_GB2312"/>
          <w:sz w:val="32"/>
          <w:szCs w:val="32"/>
        </w:rPr>
      </w:pP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与预算相比情况。本年收入合计60.06万元，与预算相比，增加6.12万元，增长11.34%。原因：**投入力度加大，项目增加。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（三）部门支出总体情况说明（Z04表）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合计60.06万元，其中：基本支出51.66万元，占86.02%；项目支出8.39万元，占13.97%；上缴上级支出0万元，占0%；经营支出0万元，占0%；对附属单位补助支出0万元，占0%。减少变化的主要原因是：2016年与园区合署办公,2017年初分开。</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与预算相比情况。本年支出合计60.06万元，与预算相比，增加6.12万元，增长11.34%。原因：**投入力度加大，项目增加。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（一）财政拨款收支总体情况说明（Z01-1、07、08表）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财政拨款收入60.06万元，与上年相比，减少38.84万元，降低39.27%。减少变化的主要原因是：人员减少。财政拨款支出60.06万元，与上年相比，减少38.84万元，降低39.27%。其中：基本支出51.66万元，项目支出8.39万元。减少变化的主要原因是：项目减少。财政拨款结转结余0万元，与上年相比，增加0万元，增长0%。增加变化的主要原因是：人员变动及压减开支。</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与预算相比情况：2017年度财政拨款收入增加6.12万元，增长11.34%，支出增加6.12万元，增长11.34%。原因：维稳投入力度加大，项目增加。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（二）一般公共预算支出决算情况说明（Z08表）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财政拨款支出60.06万元。与上年相比，减少38.84万元，降低39.27%。减少变化的主要原因是：人员减少。其中：按功能分类科目，一般公共服务支出47.28万元、社会保障和就业支出7.44万元、住房保障支出4.82万元、其他支出0.5万元。按经济分类科目，工资福利支出45.48万元、商品和服务支出9.22万元、对个人和家庭的补助5.35万元。</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与预算相比情况。2017年度一般公共预算财政拨款支出60.06万元，与预算相比，增加6.12万元，增长11.34%。增加变化的原因是：**投入力度加大，项目增加。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（三）政府性基金预算收支决算情况说明（Z01-1、10表）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无政府性基金预算财政拨款收入0万元，与上年相比，增加0万元，增长0%。增长的主要原因是：无政府性基金收支预算。政府性基金预算财政拨款支出0万元，与上年相比，增加0万元，增长0%。增长的主要原因是：无政府性基金收支预算。</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情况。2017年度政府性基金预算财政拨款收入0万元，与预算相比，增加0万元，增长0%。增加变化的主要原因是：我单位无政府性基金预算财政拨款收入。政府性基金预算财政拨款支出0万元，与预算相比，增加0万元，增长0%。增加变化的主要原因是：我单位无政府性基金预算财政拨款支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numPr>
          <w:ilvl w:val="0"/>
          <w:numId w:val="1"/>
        </w:num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政府性基金预算支出决算情况说明（Z10表）</w:t>
      </w:r>
    </w:p>
    <w:p>
      <w:pPr>
        <w:spacing w:line="580" w:lineRule="atLeast"/>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2017年度政府性基金预算支出0万元。与上年相比，增加0万元，增长0%。增长的主要原因是:无政府性基金收支预算。其中，按功能分类科目，支出0万元。按经济分类科目，支出0万元。</w:t>
      </w:r>
    </w:p>
    <w:p>
      <w:pPr>
        <w:spacing w:line="580" w:lineRule="atLeas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与预算相比情况。2017年度政府性基金预算支出0万元。与预算相比，增加0万元，增长0%。增加变化的主要原因是：我单位无政府性基金预算支出。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三、部门结转结余情况（Z01、02表）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年末结转结余0万元。与上年相比，增加0万元，增长0%。</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其中财政拨款结转结余0万元。与上年相比，增加0万元，增长0%。</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四、一般公共预算“三公”经费支出情况（CS05表）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三公”经费支出决算0万元，比上年减少11.54万元，降低100%，减少原因是：没有外出招商。其中，因公出国（境）费支出0万元，占0%，比上年增加0万元，增长0%，增加原因是：无因公出国（境）费支出；公务用车购置及运行维护费支出0万元，占0%，比上年增加0万元，增长0%，增加原因是：没有买车；公务接待费支出0万元，占0%，比上年减少11.54</w:t>
      </w:r>
      <w:r>
        <w:rPr>
          <w:rFonts w:hint="eastAsia" w:ascii="仿宋_GB2312" w:hAnsi="仿宋_GB2312" w:eastAsia="仿宋_GB2312" w:cs="仿宋_GB2312"/>
          <w:sz w:val="32"/>
          <w:szCs w:val="32"/>
        </w:rPr>
        <w:t>万元，降低100%，减少原因是：没有外出招商。</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因公出国（境）费支出0万元。麦盖提县招商局全年使用一般公共预算财政拨款安排的出国（境）团组0个，累计0人次。开支内容包括：没有开支。</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公务用车购置及运行维护费0万元,其中，公务用车购置0万元，公务用车运行维护费0万元。主要用于无公务用车购置及运行维护费等。2017年，单位一般公共财政拨款安排的公务用车购置量0辆，保有量为0辆。</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公务接待费0万元。具体是：国内公务接待支出0万元。2017单位国内公务接待0批次，0人次。</w:t>
      </w:r>
    </w:p>
    <w:p>
      <w:pPr>
        <w:spacing w:line="580" w:lineRule="atLeas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与预算相比情况。2017年度一般公共预算“三公”经费支出决算0万元，比预算增加0万元，增长0%，增加原因是：无一般公共预算“三公”经费支出。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numPr>
          <w:ilvl w:val="0"/>
          <w:numId w:val="2"/>
        </w:num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机关运行经费支出情况（CS05表）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2017年度麦盖提县招商局单位机关运行经费支出0.83万元，比上年减少58.94万元，降低98.6%，主要原因是：严格按照中央八项规定要求节约一切费用</w:t>
      </w:r>
      <w:r>
        <w:rPr>
          <w:rFonts w:hint="eastAsia" w:ascii="仿宋_GB2312" w:hAnsi="仿宋_GB2312" w:eastAsia="仿宋_GB2312" w:cs="仿宋_GB2312"/>
          <w:sz w:val="32"/>
          <w:szCs w:val="32"/>
        </w:rPr>
        <w:t>。</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六、政府采购情况（CS06表）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麦盖提县招商局单位政府采购计划2.19万元，其中：政府采购货物支出2.19万元、政府采购工程支出0万元、政府采购服务支出0万元；实际采购2.19万元，其中：政府采购货物支出2.19万元、政府采购工程支出0万元、政府采购服务支出0万元。</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（一）国有资产占用情况说明（Z12、F01表）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2017年12月31日，资产总计15.38万元，其中：流动资产6.85万元，固定资产8.52万元，其中：房屋0（平方米），价值0万元，共有车辆0辆，价值0万元，其中：部级领导干部用车0辆、一般公务用车0辆、一般执法执勤用车0辆、特种专业技术用车0辆、其他用车0辆（其他用车主要是：无）；单位价值50万元以上通用设备0台（套）、单位价值100万元以上专用设备0台（套），其他固定资产价值8.52万元。</w:t>
      </w:r>
    </w:p>
    <w:p>
      <w:pPr>
        <w:spacing w:line="580" w:lineRule="atLeast"/>
        <w:ind w:firstLine="640" w:firstLineChars="200"/>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（二）国有资产收益征缴情况说明（F02表）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截至2017年12月31日，麦盖提县招商局单位资产有偿使用收入合计2万元，资产处置收入合计0万元。其中：已缴国库2万元，已缴财政专户0万元，应缴未缴0万元，单位留用0万元。</w:t>
      </w:r>
    </w:p>
    <w:p>
      <w:pPr>
        <w:spacing w:line="580" w:lineRule="atLeast"/>
        <w:ind w:firstLine="640" w:firstLineChars="200"/>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（三）部门项目支出情况和项目绩效评价情况说明（Z06表）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2017年度，本部门单位实行绩效管理的项目3个，涉及预算27万元，项目支出决算8.39万元。年末本部门单位民生项目和重点支出项目的绩效评价开展情况及结果：</w:t>
      </w:r>
    </w:p>
    <w:p>
      <w:pPr>
        <w:numPr>
          <w:ilvl w:val="0"/>
          <w:numId w:val="3"/>
        </w:numPr>
        <w:spacing w:line="58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招商引资推介会</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通过开展招商引资推介会，达到了将我县展示给外界的目的，共计花费5万元。</w:t>
      </w:r>
    </w:p>
    <w:p>
      <w:pPr>
        <w:numPr>
          <w:ilvl w:val="0"/>
          <w:numId w:val="3"/>
        </w:numPr>
        <w:spacing w:line="58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亚欧博览会经费</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通过参加亚欧博览会，达到了展现我县招商引资的优势，同时也拓展了我县视野，拓宽我县招商引资思路，积累经验，共计花费2.89万元。</w:t>
      </w:r>
    </w:p>
    <w:p>
      <w:pPr>
        <w:numPr>
          <w:ilvl w:val="0"/>
          <w:numId w:val="3"/>
        </w:numPr>
        <w:spacing w:line="58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第一书记经费</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项目顺利开展，已达到预期目标，共计花费0.5万元。</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line="580" w:lineRule="atLeast"/>
        <w:ind w:firstLine="640" w:firstLineChars="200"/>
        <w:rPr>
          <w:rFonts w:hint="eastAsia" w:ascii="仿宋_GB2312" w:hAnsi="仿宋_GB2312" w:eastAsia="仿宋_GB2312" w:cs="仿宋_GB2312"/>
          <w:sz w:val="32"/>
          <w:szCs w:val="32"/>
        </w:rPr>
      </w:pPr>
    </w:p>
    <w:p>
      <w:pPr>
        <w:spacing w:line="580" w:lineRule="atLeast"/>
        <w:ind w:firstLine="64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第三部分专业名词解释</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附属单位缴款：指事业单位附属的独立核算单位按有关规定上缴的收入。</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其他收入：指除上述“财政拨款收入”、“事业收入”、“经营收入”、“附属单位缴款”等之外取得的收入。</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val="en-GB"/>
        </w:rPr>
        <w:t>。</w:t>
      </w:r>
      <w:r>
        <w:rPr>
          <w:rFonts w:hint="eastAsia" w:ascii="仿宋_GB2312" w:hAnsi="仿宋_GB2312" w:eastAsia="仿宋_GB2312" w:cs="仿宋_GB2312"/>
          <w:sz w:val="32"/>
          <w:szCs w:val="32"/>
        </w:rPr>
        <w:t>201（类）13（款）01（项）：指行政运行。208（类）05（款）05（项）：指机关事业单位基本养老保险缴费支出。221（类）02（款）01（项）：指</w:t>
      </w:r>
      <w:r>
        <w:rPr>
          <w:rFonts w:hint="eastAsia" w:ascii="仿宋_GB2312" w:hAnsi="仿宋_GB2312" w:eastAsia="仿宋_GB2312" w:cs="仿宋_GB2312"/>
          <w:sz w:val="32"/>
          <w:szCs w:val="32"/>
          <w:lang w:eastAsia="zh-CN"/>
        </w:rPr>
        <w:t>住房公积金支出</w:t>
      </w:r>
      <w:r>
        <w:rPr>
          <w:rFonts w:hint="eastAsia" w:ascii="仿宋_GB2312" w:hAnsi="仿宋_GB2312" w:eastAsia="仿宋_GB2312" w:cs="仿宋_GB2312"/>
          <w:sz w:val="32"/>
          <w:szCs w:val="32"/>
        </w:rPr>
        <w:t>。</w:t>
      </w:r>
      <w:bookmarkStart w:id="0" w:name="_GoBack"/>
      <w:bookmarkEnd w:id="0"/>
    </w:p>
    <w:p>
      <w:pPr>
        <w:spacing w:line="580" w:lineRule="atLeast"/>
        <w:ind w:firstLine="640" w:firstLineChars="200"/>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其他有关说明内容：无。</w:t>
      </w:r>
    </w:p>
    <w:p>
      <w:pPr>
        <w:spacing w:line="580" w:lineRule="atLeast"/>
        <w:ind w:firstLine="643" w:firstLineChars="200"/>
        <w:rPr>
          <w:rFonts w:hint="eastAsia" w:ascii="仿宋_GB2312" w:hAnsi="仿宋_GB2312" w:eastAsia="仿宋_GB2312" w:cs="仿宋_GB2312"/>
          <w:b/>
          <w:sz w:val="32"/>
          <w:szCs w:val="32"/>
        </w:rPr>
      </w:pPr>
    </w:p>
    <w:p>
      <w:pPr>
        <w:spacing w:line="580" w:lineRule="atLeast"/>
        <w:ind w:firstLine="627"/>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第四部分部门决算报表（见附表）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十二、《财政专户管理资金收入支出决算表》此表为空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十八、《政府性基金预算财政拨款收入支出决算表》此表为空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十九、《政府性基金预算财政拨款支出决算明细表》此表为空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二十、《政府性基金预算财政拨款基本支出决算明细表》此表为空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二十一、《政府性基金预算财政拨款项目支出决算明细表》此表为空</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三十、《2017年度一般公共预算“三公”经费支出情况表》此表为空</w:t>
      </w:r>
    </w:p>
    <w:p>
      <w:pPr>
        <w:spacing w:line="580" w:lineRule="atLeast"/>
        <w:ind w:firstLine="320" w:firstLineChars="100"/>
        <w:rPr>
          <w:rFonts w:hint="eastAsia" w:ascii="仿宋_GB2312" w:hAnsi="仿宋_GB2312" w:eastAsia="仿宋_GB2312" w:cs="仿宋_GB2312"/>
          <w:sz w:val="32"/>
          <w:szCs w:val="32"/>
        </w:rPr>
      </w:pPr>
    </w:p>
    <w:p>
      <w:pPr>
        <w:spacing w:line="580" w:lineRule="atLeast"/>
        <w:ind w:firstLine="320" w:firstLineChars="100"/>
        <w:rPr>
          <w:rFonts w:hint="eastAsia" w:ascii="仿宋_GB2312" w:hAnsi="仿宋_GB2312" w:eastAsia="仿宋_GB2312" w:cs="仿宋_GB2312"/>
          <w:sz w:val="32"/>
          <w:szCs w:val="32"/>
        </w:rPr>
      </w:pPr>
    </w:p>
    <w:p>
      <w:pPr>
        <w:spacing w:line="580" w:lineRule="atLeast"/>
        <w:ind w:firstLine="320" w:firstLineChars="100"/>
        <w:rPr>
          <w:rFonts w:hint="eastAsia" w:ascii="仿宋_GB2312" w:hAnsi="仿宋_GB2312" w:eastAsia="仿宋_GB2312" w:cs="仿宋_GB2312"/>
          <w:sz w:val="32"/>
          <w:szCs w:val="32"/>
        </w:rPr>
      </w:pPr>
    </w:p>
    <w:p>
      <w:pPr>
        <w:spacing w:line="580" w:lineRule="atLeast"/>
        <w:ind w:firstLine="320" w:firstLineChars="100"/>
        <w:rPr>
          <w:rFonts w:hint="eastAsia" w:ascii="仿宋_GB2312" w:hAnsi="仿宋_GB2312" w:eastAsia="仿宋_GB2312" w:cs="仿宋_GB2312"/>
          <w:sz w:val="32"/>
          <w:szCs w:val="32"/>
        </w:rPr>
      </w:pPr>
    </w:p>
    <w:p>
      <w:pPr>
        <w:spacing w:line="580" w:lineRule="atLeast"/>
        <w:ind w:firstLine="320" w:firstLineChars="100"/>
        <w:rPr>
          <w:rFonts w:hint="eastAsia" w:ascii="仿宋_GB2312" w:hAnsi="仿宋_GB2312" w:eastAsia="仿宋_GB2312" w:cs="仿宋_GB2312"/>
          <w:sz w:val="32"/>
          <w:szCs w:val="32"/>
        </w:rPr>
      </w:pPr>
    </w:p>
    <w:p>
      <w:pPr>
        <w:spacing w:line="580" w:lineRule="atLeast"/>
        <w:ind w:firstLine="320" w:firstLineChars="100"/>
        <w:rPr>
          <w:rFonts w:hint="eastAsia" w:ascii="仿宋_GB2312" w:hAnsi="仿宋_GB2312" w:eastAsia="仿宋_GB2312" w:cs="仿宋_GB2312"/>
          <w:sz w:val="32"/>
          <w:szCs w:val="32"/>
        </w:rPr>
      </w:pPr>
    </w:p>
    <w:p>
      <w:pPr>
        <w:spacing w:line="580" w:lineRule="atLeast"/>
        <w:rPr>
          <w:rFonts w:hint="eastAsia" w:ascii="仿宋_GB2312" w:hAnsi="仿宋_GB2312" w:eastAsia="仿宋_GB2312" w:cs="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588" w:header="851" w:footer="992" w:gutter="0"/>
      <w:cols w:space="425"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8CF3C50" w:usb2="00000016" w:usb3="00000000" w:csb0="0004001F" w:csb1="00000000"/>
  </w:font>
  <w:font w:name="方正小标宋_GBK">
    <w:altName w:val="宋体"/>
    <w:panose1 w:val="00000000000000000000"/>
    <w:charset w:val="86"/>
    <w:family w:val="script"/>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827" w:wrap="around" w:vAnchor="text" w:hAnchor="margin" w:xAlign="outside" w:y="1"/>
      <w:rPr>
        <w:rStyle w:val="6"/>
      </w:rPr>
    </w:pPr>
    <w:r>
      <w:rPr>
        <w:rStyle w:val="6"/>
      </w:rPr>
      <w:t>—</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6</w:t>
    </w:r>
    <w:r>
      <w:rPr>
        <w:rStyle w:val="6"/>
        <w:sz w:val="28"/>
        <w:szCs w:val="28"/>
      </w:rPr>
      <w:fldChar w:fldCharType="end"/>
    </w:r>
    <w:r>
      <w:rPr>
        <w:rStyle w:val="6"/>
      </w:rPr>
      <w:t>—</w:t>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E2DEA"/>
    <w:multiLevelType w:val="multilevel"/>
    <w:tmpl w:val="1AFE2DEA"/>
    <w:lvl w:ilvl="0" w:tentative="0">
      <w:start w:val="1"/>
      <w:numFmt w:val="decimal"/>
      <w:lvlText w:val="%1."/>
      <w:lvlJc w:val="left"/>
      <w:pPr>
        <w:tabs>
          <w:tab w:val="left" w:pos="1000"/>
        </w:tabs>
        <w:ind w:left="1000" w:hanging="360"/>
      </w:pPr>
      <w:rPr>
        <w:rFonts w:hint="default" w:cs="Times New Roman"/>
      </w:rPr>
    </w:lvl>
    <w:lvl w:ilvl="1" w:tentative="0">
      <w:start w:val="1"/>
      <w:numFmt w:val="lowerLetter"/>
      <w:lvlText w:val="%2)"/>
      <w:lvlJc w:val="left"/>
      <w:pPr>
        <w:tabs>
          <w:tab w:val="left" w:pos="1480"/>
        </w:tabs>
        <w:ind w:left="1480" w:hanging="420"/>
      </w:pPr>
      <w:rPr>
        <w:rFonts w:cs="Times New Roman"/>
      </w:rPr>
    </w:lvl>
    <w:lvl w:ilvl="2" w:tentative="0">
      <w:start w:val="1"/>
      <w:numFmt w:val="lowerRoman"/>
      <w:lvlText w:val="%3."/>
      <w:lvlJc w:val="right"/>
      <w:pPr>
        <w:tabs>
          <w:tab w:val="left" w:pos="1900"/>
        </w:tabs>
        <w:ind w:left="1900" w:hanging="420"/>
      </w:pPr>
      <w:rPr>
        <w:rFonts w:cs="Times New Roman"/>
      </w:rPr>
    </w:lvl>
    <w:lvl w:ilvl="3" w:tentative="0">
      <w:start w:val="1"/>
      <w:numFmt w:val="decimal"/>
      <w:lvlText w:val="%4."/>
      <w:lvlJc w:val="left"/>
      <w:pPr>
        <w:tabs>
          <w:tab w:val="left" w:pos="2320"/>
        </w:tabs>
        <w:ind w:left="2320" w:hanging="420"/>
      </w:pPr>
      <w:rPr>
        <w:rFonts w:cs="Times New Roman"/>
      </w:rPr>
    </w:lvl>
    <w:lvl w:ilvl="4" w:tentative="0">
      <w:start w:val="1"/>
      <w:numFmt w:val="lowerLetter"/>
      <w:lvlText w:val="%5)"/>
      <w:lvlJc w:val="left"/>
      <w:pPr>
        <w:tabs>
          <w:tab w:val="left" w:pos="2740"/>
        </w:tabs>
        <w:ind w:left="2740" w:hanging="420"/>
      </w:pPr>
      <w:rPr>
        <w:rFonts w:cs="Times New Roman"/>
      </w:rPr>
    </w:lvl>
    <w:lvl w:ilvl="5" w:tentative="0">
      <w:start w:val="1"/>
      <w:numFmt w:val="lowerRoman"/>
      <w:lvlText w:val="%6."/>
      <w:lvlJc w:val="right"/>
      <w:pPr>
        <w:tabs>
          <w:tab w:val="left" w:pos="3160"/>
        </w:tabs>
        <w:ind w:left="3160" w:hanging="420"/>
      </w:pPr>
      <w:rPr>
        <w:rFonts w:cs="Times New Roman"/>
      </w:rPr>
    </w:lvl>
    <w:lvl w:ilvl="6" w:tentative="0">
      <w:start w:val="1"/>
      <w:numFmt w:val="decimal"/>
      <w:lvlText w:val="%7."/>
      <w:lvlJc w:val="left"/>
      <w:pPr>
        <w:tabs>
          <w:tab w:val="left" w:pos="3580"/>
        </w:tabs>
        <w:ind w:left="3580" w:hanging="420"/>
      </w:pPr>
      <w:rPr>
        <w:rFonts w:cs="Times New Roman"/>
      </w:rPr>
    </w:lvl>
    <w:lvl w:ilvl="7" w:tentative="0">
      <w:start w:val="1"/>
      <w:numFmt w:val="lowerLetter"/>
      <w:lvlText w:val="%8)"/>
      <w:lvlJc w:val="left"/>
      <w:pPr>
        <w:tabs>
          <w:tab w:val="left" w:pos="4000"/>
        </w:tabs>
        <w:ind w:left="4000" w:hanging="420"/>
      </w:pPr>
      <w:rPr>
        <w:rFonts w:cs="Times New Roman"/>
      </w:rPr>
    </w:lvl>
    <w:lvl w:ilvl="8" w:tentative="0">
      <w:start w:val="1"/>
      <w:numFmt w:val="lowerRoman"/>
      <w:lvlText w:val="%9."/>
      <w:lvlJc w:val="right"/>
      <w:pPr>
        <w:tabs>
          <w:tab w:val="left" w:pos="4420"/>
        </w:tabs>
        <w:ind w:left="4420" w:hanging="420"/>
      </w:pPr>
      <w:rPr>
        <w:rFonts w:cs="Times New Roman"/>
      </w:rPr>
    </w:lvl>
  </w:abstractNum>
  <w:abstractNum w:abstractNumId="1">
    <w:nsid w:val="5B6D3970"/>
    <w:multiLevelType w:val="singleLevel"/>
    <w:tmpl w:val="5B6D3970"/>
    <w:lvl w:ilvl="0" w:tentative="0">
      <w:start w:val="5"/>
      <w:numFmt w:val="chineseCounting"/>
      <w:suff w:val="nothing"/>
      <w:lvlText w:val="%1、"/>
      <w:lvlJc w:val="left"/>
      <w:rPr>
        <w:rFonts w:cs="Times New Roman"/>
      </w:rPr>
    </w:lvl>
  </w:abstractNum>
  <w:abstractNum w:abstractNumId="2">
    <w:nsid w:val="5B6D67A1"/>
    <w:multiLevelType w:val="singleLevel"/>
    <w:tmpl w:val="5B6D67A1"/>
    <w:lvl w:ilvl="0" w:tentative="0">
      <w:start w:val="4"/>
      <w:numFmt w:val="chineseCounting"/>
      <w:suff w:val="nothing"/>
      <w:lvlText w:val="（%1）"/>
      <w:lvlJc w:val="left"/>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2BB5"/>
    <w:rsid w:val="00020E9B"/>
    <w:rsid w:val="00027799"/>
    <w:rsid w:val="00034686"/>
    <w:rsid w:val="00175D39"/>
    <w:rsid w:val="001A2EF2"/>
    <w:rsid w:val="00282ADE"/>
    <w:rsid w:val="002B2585"/>
    <w:rsid w:val="002E1764"/>
    <w:rsid w:val="003841F7"/>
    <w:rsid w:val="003D22E7"/>
    <w:rsid w:val="00403367"/>
    <w:rsid w:val="004A18EC"/>
    <w:rsid w:val="004A67A0"/>
    <w:rsid w:val="004B519A"/>
    <w:rsid w:val="005249CB"/>
    <w:rsid w:val="0052548F"/>
    <w:rsid w:val="005411E4"/>
    <w:rsid w:val="005A0237"/>
    <w:rsid w:val="006404CB"/>
    <w:rsid w:val="00642BB5"/>
    <w:rsid w:val="006C03C2"/>
    <w:rsid w:val="006E0285"/>
    <w:rsid w:val="00752831"/>
    <w:rsid w:val="007A2D6A"/>
    <w:rsid w:val="007E0B4A"/>
    <w:rsid w:val="007E6F6E"/>
    <w:rsid w:val="008D3F68"/>
    <w:rsid w:val="0097482F"/>
    <w:rsid w:val="009F635E"/>
    <w:rsid w:val="00AE688C"/>
    <w:rsid w:val="00AF6316"/>
    <w:rsid w:val="00B83C63"/>
    <w:rsid w:val="00C234C9"/>
    <w:rsid w:val="00CB61FF"/>
    <w:rsid w:val="00DF1C08"/>
    <w:rsid w:val="00E34FE5"/>
    <w:rsid w:val="00EB4D18"/>
    <w:rsid w:val="00FA6272"/>
    <w:rsid w:val="04C42836"/>
    <w:rsid w:val="050A2103"/>
    <w:rsid w:val="086D3331"/>
    <w:rsid w:val="08937DAE"/>
    <w:rsid w:val="08D114F8"/>
    <w:rsid w:val="08F73973"/>
    <w:rsid w:val="0A023243"/>
    <w:rsid w:val="0A1C2DB0"/>
    <w:rsid w:val="0B9713FF"/>
    <w:rsid w:val="0CD13945"/>
    <w:rsid w:val="0D6A26CF"/>
    <w:rsid w:val="0EE456E8"/>
    <w:rsid w:val="11E66B94"/>
    <w:rsid w:val="14465306"/>
    <w:rsid w:val="151852EF"/>
    <w:rsid w:val="15BF15E8"/>
    <w:rsid w:val="16EE53BB"/>
    <w:rsid w:val="196A049A"/>
    <w:rsid w:val="196B25E0"/>
    <w:rsid w:val="1BFC7142"/>
    <w:rsid w:val="1C3130EB"/>
    <w:rsid w:val="1C7722FE"/>
    <w:rsid w:val="1CEC5244"/>
    <w:rsid w:val="1E213518"/>
    <w:rsid w:val="1E790BF8"/>
    <w:rsid w:val="1EAF68D3"/>
    <w:rsid w:val="1EEB79C8"/>
    <w:rsid w:val="20EC2860"/>
    <w:rsid w:val="213166A2"/>
    <w:rsid w:val="21F33F8B"/>
    <w:rsid w:val="22AF5D88"/>
    <w:rsid w:val="24115714"/>
    <w:rsid w:val="25B25A3C"/>
    <w:rsid w:val="25BF3F5F"/>
    <w:rsid w:val="26130584"/>
    <w:rsid w:val="26551A67"/>
    <w:rsid w:val="2667177A"/>
    <w:rsid w:val="26B6510F"/>
    <w:rsid w:val="2BA25702"/>
    <w:rsid w:val="2BBB2EF7"/>
    <w:rsid w:val="2C420F40"/>
    <w:rsid w:val="2CC008A0"/>
    <w:rsid w:val="2E3B6C3B"/>
    <w:rsid w:val="2F162513"/>
    <w:rsid w:val="2F3A7B29"/>
    <w:rsid w:val="2F6C45FB"/>
    <w:rsid w:val="31310683"/>
    <w:rsid w:val="317C7D26"/>
    <w:rsid w:val="318F649B"/>
    <w:rsid w:val="333659C4"/>
    <w:rsid w:val="35695267"/>
    <w:rsid w:val="35CE4AF1"/>
    <w:rsid w:val="35D524B2"/>
    <w:rsid w:val="37E96459"/>
    <w:rsid w:val="38080A7F"/>
    <w:rsid w:val="389F5301"/>
    <w:rsid w:val="39337381"/>
    <w:rsid w:val="3A742AEE"/>
    <w:rsid w:val="3AA04823"/>
    <w:rsid w:val="3ADD39FF"/>
    <w:rsid w:val="3B0D1864"/>
    <w:rsid w:val="3D2756C8"/>
    <w:rsid w:val="3DAA1E62"/>
    <w:rsid w:val="3E374F1D"/>
    <w:rsid w:val="3F415CF7"/>
    <w:rsid w:val="3F811103"/>
    <w:rsid w:val="404D66FB"/>
    <w:rsid w:val="41964DDB"/>
    <w:rsid w:val="42C41BAF"/>
    <w:rsid w:val="453A029E"/>
    <w:rsid w:val="454809FC"/>
    <w:rsid w:val="46046386"/>
    <w:rsid w:val="463D2FF4"/>
    <w:rsid w:val="473E50FA"/>
    <w:rsid w:val="47686CC7"/>
    <w:rsid w:val="48D44044"/>
    <w:rsid w:val="48F804A5"/>
    <w:rsid w:val="49AC0FAD"/>
    <w:rsid w:val="4AC75079"/>
    <w:rsid w:val="4B95761B"/>
    <w:rsid w:val="4C3B070F"/>
    <w:rsid w:val="4D4B4049"/>
    <w:rsid w:val="4E6F1A66"/>
    <w:rsid w:val="4FFD5D2C"/>
    <w:rsid w:val="50802701"/>
    <w:rsid w:val="51A10F5C"/>
    <w:rsid w:val="53817D5F"/>
    <w:rsid w:val="55035954"/>
    <w:rsid w:val="552948D4"/>
    <w:rsid w:val="55590E07"/>
    <w:rsid w:val="56D14883"/>
    <w:rsid w:val="58017857"/>
    <w:rsid w:val="5AF95623"/>
    <w:rsid w:val="5BA96F5D"/>
    <w:rsid w:val="5DA04EE3"/>
    <w:rsid w:val="5E0A55A8"/>
    <w:rsid w:val="5E1C4596"/>
    <w:rsid w:val="605D373B"/>
    <w:rsid w:val="61DD392B"/>
    <w:rsid w:val="62F52037"/>
    <w:rsid w:val="63DB2F3E"/>
    <w:rsid w:val="645A487B"/>
    <w:rsid w:val="64AD46A7"/>
    <w:rsid w:val="64BB2D67"/>
    <w:rsid w:val="651472E6"/>
    <w:rsid w:val="66141945"/>
    <w:rsid w:val="66E7021F"/>
    <w:rsid w:val="67FC16DF"/>
    <w:rsid w:val="6A9475FD"/>
    <w:rsid w:val="6B417C2B"/>
    <w:rsid w:val="6B557331"/>
    <w:rsid w:val="6C80573E"/>
    <w:rsid w:val="6CF10EED"/>
    <w:rsid w:val="6DCA31B5"/>
    <w:rsid w:val="6FA451B7"/>
    <w:rsid w:val="70C0751E"/>
    <w:rsid w:val="7245555D"/>
    <w:rsid w:val="72496BD9"/>
    <w:rsid w:val="727E2302"/>
    <w:rsid w:val="72950B15"/>
    <w:rsid w:val="74B378ED"/>
    <w:rsid w:val="752F3D5E"/>
    <w:rsid w:val="75493E8E"/>
    <w:rsid w:val="79F531EE"/>
    <w:rsid w:val="7D1F1B7F"/>
    <w:rsid w:val="7E095D4B"/>
    <w:rsid w:val="7ED602D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0"/>
      <w:sz w:val="21"/>
      <w:szCs w:val="24"/>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rFonts w:ascii="Calibri" w:hAnsi="Calibri"/>
      <w:kern w:val="2"/>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rFonts w:ascii="Calibri" w:hAnsi="Calibri"/>
      <w:kern w:val="2"/>
      <w:sz w:val="18"/>
      <w:szCs w:val="18"/>
    </w:rPr>
  </w:style>
  <w:style w:type="paragraph" w:styleId="4">
    <w:name w:val="Normal (Web)"/>
    <w:basedOn w:val="1"/>
    <w:qFormat/>
    <w:uiPriority w:val="99"/>
    <w:pPr>
      <w:widowControl/>
      <w:spacing w:before="100" w:beforeAutospacing="1" w:after="240"/>
      <w:jc w:val="left"/>
    </w:pPr>
    <w:rPr>
      <w:rFonts w:ascii="宋体" w:hAnsi="宋体" w:cs="宋体"/>
      <w:sz w:val="24"/>
    </w:rPr>
  </w:style>
  <w:style w:type="character" w:styleId="6">
    <w:name w:val="page number"/>
    <w:basedOn w:val="5"/>
    <w:qFormat/>
    <w:uiPriority w:val="99"/>
    <w:rPr>
      <w:rFonts w:cs="Times New Roman"/>
    </w:rPr>
  </w:style>
  <w:style w:type="character" w:customStyle="1" w:styleId="8">
    <w:name w:val="Footer Char"/>
    <w:basedOn w:val="5"/>
    <w:link w:val="2"/>
    <w:qFormat/>
    <w:locked/>
    <w:uiPriority w:val="99"/>
    <w:rPr>
      <w:rFonts w:cs="Times New Roman"/>
      <w:sz w:val="18"/>
      <w:szCs w:val="18"/>
    </w:rPr>
  </w:style>
  <w:style w:type="character" w:customStyle="1" w:styleId="9">
    <w:name w:val="Header Char"/>
    <w:basedOn w:val="5"/>
    <w:link w:val="3"/>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17</Pages>
  <Words>1030</Words>
  <Characters>5872</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2018-04-24T05:40:00Z</dcterms:created>
  <dc:creator>董志强</dc:creator>
  <cp:lastModifiedBy>Administrator</cp:lastModifiedBy>
  <dcterms:modified xsi:type="dcterms:W3CDTF">2019-01-05T13:03:16Z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